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CEBF" w14:textId="77777777" w:rsidR="00FD4A98" w:rsidRDefault="00FD4A98" w:rsidP="00FD4A98">
      <w:pPr>
        <w:spacing w:line="480" w:lineRule="auto"/>
        <w:jc w:val="center"/>
        <w:rPr>
          <w:rFonts w:ascii="Times New Roman" w:hAnsi="Times New Roman" w:cs="Times New Roman"/>
          <w:color w:val="263238"/>
        </w:rPr>
      </w:pPr>
    </w:p>
    <w:p w14:paraId="5D8C667B" w14:textId="77777777" w:rsidR="00FD4A98" w:rsidRDefault="00FD4A98" w:rsidP="00FD4A98">
      <w:pPr>
        <w:spacing w:line="480" w:lineRule="auto"/>
        <w:jc w:val="center"/>
        <w:rPr>
          <w:rFonts w:ascii="Times New Roman" w:hAnsi="Times New Roman" w:cs="Times New Roman"/>
          <w:color w:val="263238"/>
        </w:rPr>
      </w:pPr>
    </w:p>
    <w:p w14:paraId="50840FA9" w14:textId="77777777" w:rsidR="00FD4A98" w:rsidRDefault="00FD4A98" w:rsidP="00FD4A98">
      <w:pPr>
        <w:spacing w:line="480" w:lineRule="auto"/>
        <w:jc w:val="center"/>
        <w:rPr>
          <w:rFonts w:ascii="Times New Roman" w:hAnsi="Times New Roman" w:cs="Times New Roman"/>
          <w:color w:val="263238"/>
        </w:rPr>
      </w:pPr>
    </w:p>
    <w:p w14:paraId="09457C68" w14:textId="77777777" w:rsidR="00FD4A98" w:rsidRDefault="00FD4A98" w:rsidP="00FD4A98">
      <w:pPr>
        <w:spacing w:line="480" w:lineRule="auto"/>
        <w:jc w:val="center"/>
        <w:rPr>
          <w:rFonts w:ascii="Times New Roman" w:hAnsi="Times New Roman" w:cs="Times New Roman"/>
          <w:color w:val="263238"/>
        </w:rPr>
      </w:pPr>
    </w:p>
    <w:p w14:paraId="3DC6A83D" w14:textId="77777777" w:rsidR="00FD4A98" w:rsidRDefault="00FD4A98" w:rsidP="00FD4A98">
      <w:pPr>
        <w:spacing w:line="480" w:lineRule="auto"/>
        <w:jc w:val="center"/>
        <w:rPr>
          <w:rFonts w:ascii="Times New Roman" w:hAnsi="Times New Roman" w:cs="Times New Roman"/>
          <w:color w:val="263238"/>
        </w:rPr>
      </w:pPr>
    </w:p>
    <w:p w14:paraId="16CC208E" w14:textId="49C24B11" w:rsidR="00FD4A98" w:rsidRPr="00FD4A98" w:rsidRDefault="00FD4A98" w:rsidP="00FD4A98">
      <w:pPr>
        <w:spacing w:line="480" w:lineRule="auto"/>
        <w:jc w:val="center"/>
        <w:rPr>
          <w:rFonts w:ascii="Times New Roman" w:hAnsi="Times New Roman" w:cs="Times New Roman"/>
        </w:rPr>
      </w:pPr>
      <w:r w:rsidRPr="00FD4A98">
        <w:rPr>
          <w:rFonts w:ascii="Times New Roman" w:hAnsi="Times New Roman" w:cs="Times New Roman"/>
          <w:color w:val="263238"/>
        </w:rPr>
        <w:t>Student’s Name</w:t>
      </w:r>
      <w:r w:rsidRPr="00FD4A98">
        <w:rPr>
          <w:rFonts w:ascii="Times New Roman" w:hAnsi="Times New Roman" w:cs="Times New Roman"/>
          <w:color w:val="263238"/>
        </w:rPr>
        <w:br/>
        <w:t>Department, University</w:t>
      </w:r>
      <w:r w:rsidRPr="00FD4A98">
        <w:rPr>
          <w:rFonts w:ascii="Times New Roman" w:hAnsi="Times New Roman" w:cs="Times New Roman"/>
          <w:color w:val="263238"/>
        </w:rPr>
        <w:br/>
        <w:t>Course Number and Name</w:t>
      </w:r>
      <w:r w:rsidRPr="00FD4A98">
        <w:rPr>
          <w:rFonts w:ascii="Times New Roman" w:hAnsi="Times New Roman" w:cs="Times New Roman"/>
          <w:color w:val="263238"/>
        </w:rPr>
        <w:br/>
        <w:t>Instructor’s Name</w:t>
      </w:r>
      <w:r w:rsidRPr="00FD4A98">
        <w:rPr>
          <w:rFonts w:ascii="Times New Roman" w:hAnsi="Times New Roman" w:cs="Times New Roman"/>
          <w:color w:val="263238"/>
        </w:rPr>
        <w:br/>
        <w:t>Date</w:t>
      </w:r>
    </w:p>
    <w:p w14:paraId="08429891" w14:textId="77777777" w:rsidR="00FD4A98" w:rsidRDefault="00FD4A98" w:rsidP="00D25913">
      <w:pPr>
        <w:spacing w:line="480" w:lineRule="auto"/>
        <w:rPr>
          <w:rFonts w:ascii="Times New Roman" w:hAnsi="Times New Roman" w:cs="Times New Roman"/>
        </w:rPr>
      </w:pPr>
    </w:p>
    <w:p w14:paraId="2227AF4E" w14:textId="77777777" w:rsidR="00FD4A98" w:rsidRDefault="00FD4A98" w:rsidP="00D25913">
      <w:pPr>
        <w:spacing w:line="480" w:lineRule="auto"/>
        <w:rPr>
          <w:rFonts w:ascii="Times New Roman" w:hAnsi="Times New Roman" w:cs="Times New Roman"/>
        </w:rPr>
      </w:pPr>
    </w:p>
    <w:p w14:paraId="6E771BD6" w14:textId="77777777" w:rsidR="00FD4A98" w:rsidRDefault="00FD4A98">
      <w:pPr>
        <w:rPr>
          <w:rFonts w:ascii="Times New Roman" w:hAnsi="Times New Roman" w:cs="Times New Roman"/>
        </w:rPr>
      </w:pPr>
      <w:r>
        <w:rPr>
          <w:rFonts w:ascii="Times New Roman" w:hAnsi="Times New Roman" w:cs="Times New Roman"/>
        </w:rPr>
        <w:br w:type="page"/>
      </w:r>
    </w:p>
    <w:p w14:paraId="2C716B72" w14:textId="2548A1E2" w:rsidR="005F66AF" w:rsidRPr="00D25913" w:rsidRDefault="005F66AF" w:rsidP="00D25913">
      <w:pPr>
        <w:spacing w:line="480" w:lineRule="auto"/>
        <w:rPr>
          <w:rFonts w:ascii="Times New Roman" w:hAnsi="Times New Roman" w:cs="Times New Roman"/>
        </w:rPr>
      </w:pPr>
      <w:r w:rsidRPr="00D25913">
        <w:rPr>
          <w:rFonts w:ascii="Times New Roman" w:hAnsi="Times New Roman" w:cs="Times New Roman"/>
        </w:rPr>
        <w:lastRenderedPageBreak/>
        <w:t xml:space="preserve">The following questions need to be answered for </w:t>
      </w:r>
      <w:r w:rsidRPr="00D25913">
        <w:rPr>
          <w:rFonts w:ascii="Times New Roman" w:hAnsi="Times New Roman" w:cs="Times New Roman"/>
          <w:b/>
          <w:bCs/>
        </w:rPr>
        <w:t>(</w:t>
      </w:r>
      <w:r w:rsidRPr="00D25913">
        <w:rPr>
          <w:rFonts w:ascii="Times New Roman" w:hAnsi="Times New Roman" w:cs="Times New Roman"/>
          <w:b/>
          <w:bCs/>
          <w:u w:val="single"/>
        </w:rPr>
        <w:t>Procter &amp; Gamble</w:t>
      </w:r>
      <w:r w:rsidRPr="00D25913">
        <w:rPr>
          <w:rFonts w:ascii="Times New Roman" w:hAnsi="Times New Roman" w:cs="Times New Roman"/>
          <w:b/>
          <w:bCs/>
        </w:rPr>
        <w:t xml:space="preserve">) </w:t>
      </w:r>
      <w:r w:rsidRPr="00D25913">
        <w:rPr>
          <w:rFonts w:ascii="Times New Roman" w:hAnsi="Times New Roman" w:cs="Times New Roman"/>
        </w:rPr>
        <w:t>the company:</w:t>
      </w:r>
    </w:p>
    <w:p w14:paraId="404BDACF" w14:textId="3915FB76" w:rsidR="005F66AF" w:rsidRPr="00D25913" w:rsidRDefault="005F66AF" w:rsidP="00D25913">
      <w:pPr>
        <w:spacing w:line="480" w:lineRule="auto"/>
        <w:rPr>
          <w:rFonts w:ascii="Times New Roman" w:hAnsi="Times New Roman" w:cs="Times New Roman"/>
        </w:rPr>
      </w:pPr>
    </w:p>
    <w:p w14:paraId="1B5CA38E" w14:textId="77777777" w:rsidR="005F66AF" w:rsidRPr="00D25913" w:rsidRDefault="005F66AF" w:rsidP="00D25913">
      <w:pPr>
        <w:spacing w:line="480" w:lineRule="auto"/>
        <w:rPr>
          <w:rFonts w:ascii="Times New Roman" w:hAnsi="Times New Roman" w:cs="Times New Roman"/>
        </w:rPr>
      </w:pPr>
    </w:p>
    <w:p w14:paraId="6AC1A26B" w14:textId="366161EC" w:rsidR="000137AE"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t>(1)</w:t>
      </w:r>
      <w:r w:rsidR="000137AE" w:rsidRPr="00D25913">
        <w:rPr>
          <w:rFonts w:ascii="Times New Roman" w:hAnsi="Times New Roman" w:cs="Times New Roman"/>
          <w:b/>
        </w:rPr>
        <w:t>. Estimate</w:t>
      </w:r>
      <w:r w:rsidRPr="00D25913">
        <w:rPr>
          <w:rFonts w:ascii="Times New Roman" w:hAnsi="Times New Roman" w:cs="Times New Roman"/>
          <w:b/>
        </w:rPr>
        <w:t xml:space="preserve"> the firm’s value by using the Dividends-Based Valuation Model in Chapter 8. Compare the firm’s stock market value to the intrinsic value you calculated and explain the difference in values. </w:t>
      </w:r>
    </w:p>
    <w:p w14:paraId="32036775" w14:textId="77777777" w:rsidR="00C818CC" w:rsidRPr="00D25913" w:rsidRDefault="00C818CC" w:rsidP="00D25913">
      <w:pPr>
        <w:spacing w:line="480" w:lineRule="auto"/>
        <w:rPr>
          <w:rFonts w:ascii="Times New Roman" w:hAnsi="Times New Roman" w:cs="Times New Roman"/>
        </w:rPr>
      </w:pPr>
    </w:p>
    <w:p w14:paraId="63AFFC21"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The following data about Procter and Gamble Company was obtained from </w:t>
      </w:r>
      <w:proofErr w:type="spellStart"/>
      <w:r w:rsidRPr="004F64FE">
        <w:rPr>
          <w:rFonts w:ascii="Times New Roman" w:hAnsi="Times New Roman" w:cs="Times New Roman"/>
        </w:rPr>
        <w:t>Marketbeat</w:t>
      </w:r>
      <w:proofErr w:type="spellEnd"/>
      <w:r w:rsidRPr="004F64FE">
        <w:rPr>
          <w:rFonts w:ascii="Times New Roman" w:hAnsi="Times New Roman" w:cs="Times New Roman"/>
        </w:rPr>
        <w:t xml:space="preserve"> (2021)</w:t>
      </w:r>
    </w:p>
    <w:p w14:paraId="71685CEB"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Dividends yield = 2.62%</w:t>
      </w:r>
    </w:p>
    <w:p w14:paraId="4BC1A8E5"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The annual dividend per share for Procter and Gamble is $3.48</w:t>
      </w:r>
    </w:p>
    <w:p w14:paraId="5F79270A"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The average dividend growth rate of the company every year is 4.42%</w:t>
      </w:r>
    </w:p>
    <w:p w14:paraId="45DBA045"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Total dividends given out by Procter and Gamble Company are 67.97% of the total earnings.</w:t>
      </w:r>
    </w:p>
    <w:p w14:paraId="15A057A7"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Three years growth rate of Procter and Gamble is 13.87%</w:t>
      </w:r>
    </w:p>
    <w:p w14:paraId="434F5A50"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Currently, the return on investment is 14.81%. </w:t>
      </w:r>
    </w:p>
    <w:p w14:paraId="56489530"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The constant growth value is therefore </w:t>
      </w:r>
    </w:p>
    <w:p w14:paraId="39904262"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($3.48*1.042)</w:t>
      </w:r>
      <w:proofErr w:type="gramStart"/>
      <w:r w:rsidRPr="004F64FE">
        <w:rPr>
          <w:rFonts w:ascii="Times New Roman" w:hAnsi="Times New Roman" w:cs="Times New Roman"/>
        </w:rPr>
        <w:t>/(</w:t>
      </w:r>
      <w:proofErr w:type="gramEnd"/>
      <w:r w:rsidRPr="004F64FE">
        <w:rPr>
          <w:rFonts w:ascii="Times New Roman" w:hAnsi="Times New Roman" w:cs="Times New Roman"/>
        </w:rPr>
        <w:t>0.1481-0.0262)</w:t>
      </w:r>
    </w:p>
    <w:p w14:paraId="6E4F6B50"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=$ 29.75 </w:t>
      </w:r>
    </w:p>
    <w:p w14:paraId="0E67B373" w14:textId="77D4C15D" w:rsidR="00E24E8E" w:rsidRPr="00D25913" w:rsidRDefault="004F64FE" w:rsidP="004F64FE">
      <w:pPr>
        <w:spacing w:line="480" w:lineRule="auto"/>
        <w:ind w:firstLine="720"/>
        <w:rPr>
          <w:rFonts w:ascii="Times New Roman" w:hAnsi="Times New Roman" w:cs="Times New Roman"/>
        </w:rPr>
      </w:pPr>
      <w:r w:rsidRPr="004F64FE">
        <w:rPr>
          <w:rFonts w:ascii="Times New Roman" w:hAnsi="Times New Roman" w:cs="Times New Roman"/>
        </w:rPr>
        <w:t>The firm’s value using the Dividends-Based Valuation Model is, therefore, $29.75. The current stock market value for Procter and Gamble is $133.07. This means that the stock has been overpriced, and profit can only be made by short-selling the available securities.</w:t>
      </w:r>
    </w:p>
    <w:p w14:paraId="3B5C046A" w14:textId="77777777" w:rsidR="00E24E8E" w:rsidRPr="00D25913" w:rsidRDefault="00E24E8E" w:rsidP="00D25913">
      <w:pPr>
        <w:spacing w:line="480" w:lineRule="auto"/>
        <w:rPr>
          <w:rFonts w:ascii="Times New Roman" w:hAnsi="Times New Roman" w:cs="Times New Roman"/>
        </w:rPr>
      </w:pPr>
    </w:p>
    <w:p w14:paraId="13A9B59F" w14:textId="58EEB42D" w:rsidR="005F66AF"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lastRenderedPageBreak/>
        <w:t>(2)</w:t>
      </w:r>
      <w:r w:rsidR="00C818CC" w:rsidRPr="00D25913">
        <w:rPr>
          <w:rFonts w:ascii="Times New Roman" w:hAnsi="Times New Roman" w:cs="Times New Roman"/>
          <w:b/>
        </w:rPr>
        <w:t>. Estimate</w:t>
      </w:r>
      <w:r w:rsidRPr="00D25913">
        <w:rPr>
          <w:rFonts w:ascii="Times New Roman" w:hAnsi="Times New Roman" w:cs="Times New Roman"/>
          <w:b/>
        </w:rPr>
        <w:t xml:space="preserve"> the firm’s value by using the Beta theory in Chapter 12 and 13. Compare the firm’s stock market value to the intrinsic value you calculated and explain the difference in values. </w:t>
      </w:r>
    </w:p>
    <w:p w14:paraId="011DA482" w14:textId="05E0D510" w:rsidR="00F65B29" w:rsidRPr="00D25913" w:rsidRDefault="00F65B29" w:rsidP="00D25913">
      <w:pPr>
        <w:spacing w:line="480" w:lineRule="auto"/>
        <w:rPr>
          <w:rFonts w:ascii="Times New Roman" w:hAnsi="Times New Roman" w:cs="Times New Roman"/>
        </w:rPr>
      </w:pPr>
      <w:r w:rsidRPr="00D25913">
        <w:rPr>
          <w:rFonts w:ascii="Times New Roman" w:hAnsi="Times New Roman" w:cs="Times New Roman"/>
        </w:rPr>
        <w:t xml:space="preserve">Beta measures the volatility of firm. </w:t>
      </w:r>
    </w:p>
    <w:p w14:paraId="7A6BB47C" w14:textId="52B56478" w:rsidR="003D4B21" w:rsidRPr="00D25913" w:rsidRDefault="003D4B21" w:rsidP="00D25913">
      <w:pPr>
        <w:spacing w:line="480" w:lineRule="auto"/>
        <w:rPr>
          <w:rFonts w:ascii="Times New Roman" w:hAnsi="Times New Roman" w:cs="Times New Roman"/>
        </w:rPr>
      </w:pPr>
      <w:r w:rsidRPr="00D25913">
        <w:rPr>
          <w:rFonts w:ascii="Times New Roman" w:hAnsi="Times New Roman" w:cs="Times New Roman"/>
        </w:rPr>
        <w:t>The price per ratio of Procter &amp; Gamble Company is $133.07</w:t>
      </w:r>
    </w:p>
    <w:p w14:paraId="613EB108" w14:textId="6FBA2DEF" w:rsidR="003D4B21" w:rsidRPr="00D25913" w:rsidRDefault="003D4B21" w:rsidP="00D25913">
      <w:pPr>
        <w:spacing w:line="480" w:lineRule="auto"/>
        <w:rPr>
          <w:rFonts w:ascii="Times New Roman" w:hAnsi="Times New Roman" w:cs="Times New Roman"/>
        </w:rPr>
      </w:pPr>
      <w:r w:rsidRPr="00D25913">
        <w:rPr>
          <w:rFonts w:ascii="Times New Roman" w:hAnsi="Times New Roman" w:cs="Times New Roman"/>
        </w:rPr>
        <w:t xml:space="preserve">The price per ratio = </w:t>
      </w:r>
      <w:r w:rsidR="00DC5F18" w:rsidRPr="00D25913">
        <w:rPr>
          <w:rFonts w:ascii="Times New Roman" w:hAnsi="Times New Roman" w:cs="Times New Roman"/>
        </w:rPr>
        <w:t>$</w:t>
      </w:r>
      <w:r w:rsidRPr="00D25913">
        <w:rPr>
          <w:rFonts w:ascii="Times New Roman" w:hAnsi="Times New Roman" w:cs="Times New Roman"/>
        </w:rPr>
        <w:t>24.47</w:t>
      </w:r>
    </w:p>
    <w:p w14:paraId="59F8B2DC" w14:textId="4EF34C35"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xml:space="preserve">The following is how the beta value is computed as follows </w:t>
      </w:r>
    </w:p>
    <w:p w14:paraId="08B4513E" w14:textId="58EB7E1A"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fldChar w:fldCharType="begin"/>
      </w:r>
      <w:r w:rsidRPr="00D25913">
        <w:rPr>
          <w:rFonts w:ascii="Times New Roman" w:hAnsi="Times New Roman" w:cs="Times New Roman"/>
        </w:rPr>
        <w:instrText xml:space="preserve"> LINK Excel.Sheet.12 "Book1" "Sheet2!R1C1:R9C6" \a \f 5 \h  \* MERGEFORMAT </w:instrText>
      </w:r>
      <w:r w:rsidRPr="00D25913">
        <w:rPr>
          <w:rFonts w:ascii="Times New Roman" w:hAnsi="Times New Roman" w:cs="Times New Roman"/>
        </w:rPr>
        <w:fldChar w:fldCharType="separate"/>
      </w:r>
    </w:p>
    <w:tbl>
      <w:tblPr>
        <w:tblStyle w:val="TableGrid"/>
        <w:tblW w:w="11961" w:type="dxa"/>
        <w:tblLook w:val="04A0" w:firstRow="1" w:lastRow="0" w:firstColumn="1" w:lastColumn="0" w:noHBand="0" w:noVBand="1"/>
      </w:tblPr>
      <w:tblGrid>
        <w:gridCol w:w="1360"/>
        <w:gridCol w:w="2320"/>
        <w:gridCol w:w="1961"/>
        <w:gridCol w:w="1129"/>
        <w:gridCol w:w="1595"/>
        <w:gridCol w:w="3596"/>
      </w:tblGrid>
      <w:tr w:rsidR="00941240" w:rsidRPr="00D25913" w14:paraId="56557D4A" w14:textId="77777777" w:rsidTr="00941240">
        <w:trPr>
          <w:trHeight w:val="300"/>
        </w:trPr>
        <w:tc>
          <w:tcPr>
            <w:tcW w:w="1360" w:type="dxa"/>
            <w:noWrap/>
            <w:hideMark/>
          </w:tcPr>
          <w:p w14:paraId="7883A37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Date</w:t>
            </w:r>
          </w:p>
        </w:tc>
        <w:tc>
          <w:tcPr>
            <w:tcW w:w="2320" w:type="dxa"/>
            <w:noWrap/>
            <w:hideMark/>
          </w:tcPr>
          <w:p w14:paraId="6D239B52"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NYSE COMPOSITE (close)</w:t>
            </w:r>
          </w:p>
        </w:tc>
        <w:tc>
          <w:tcPr>
            <w:tcW w:w="1961" w:type="dxa"/>
            <w:noWrap/>
            <w:hideMark/>
          </w:tcPr>
          <w:p w14:paraId="0A0A798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The Procter &amp; Gamble Company (close)</w:t>
            </w:r>
          </w:p>
        </w:tc>
        <w:tc>
          <w:tcPr>
            <w:tcW w:w="2724" w:type="dxa"/>
            <w:gridSpan w:val="2"/>
            <w:noWrap/>
            <w:hideMark/>
          </w:tcPr>
          <w:p w14:paraId="4EE4D056" w14:textId="163393C5"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xml:space="preserve">% </w:t>
            </w:r>
            <w:proofErr w:type="gramStart"/>
            <w:r w:rsidRPr="00D25913">
              <w:rPr>
                <w:rFonts w:ascii="Times New Roman" w:hAnsi="Times New Roman" w:cs="Times New Roman"/>
              </w:rPr>
              <w:t>changes</w:t>
            </w:r>
            <w:proofErr w:type="gramEnd"/>
            <w:r w:rsidRPr="00D25913">
              <w:rPr>
                <w:rFonts w:ascii="Times New Roman" w:hAnsi="Times New Roman" w:cs="Times New Roman"/>
              </w:rPr>
              <w:t xml:space="preserve"> per day</w:t>
            </w:r>
          </w:p>
        </w:tc>
        <w:tc>
          <w:tcPr>
            <w:tcW w:w="3596" w:type="dxa"/>
            <w:noWrap/>
            <w:hideMark/>
          </w:tcPr>
          <w:p w14:paraId="3B195819" w14:textId="77777777" w:rsidR="00941240" w:rsidRPr="00D25913" w:rsidRDefault="00941240" w:rsidP="00D25913">
            <w:pPr>
              <w:spacing w:line="480" w:lineRule="auto"/>
              <w:rPr>
                <w:rFonts w:ascii="Times New Roman" w:hAnsi="Times New Roman" w:cs="Times New Roman"/>
              </w:rPr>
            </w:pPr>
          </w:p>
        </w:tc>
      </w:tr>
      <w:tr w:rsidR="00941240" w:rsidRPr="00D25913" w14:paraId="485D9712" w14:textId="77777777" w:rsidTr="00941240">
        <w:trPr>
          <w:trHeight w:val="300"/>
        </w:trPr>
        <w:tc>
          <w:tcPr>
            <w:tcW w:w="1360" w:type="dxa"/>
            <w:noWrap/>
            <w:hideMark/>
          </w:tcPr>
          <w:p w14:paraId="28B4614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44368</w:t>
            </w:r>
          </w:p>
        </w:tc>
        <w:tc>
          <w:tcPr>
            <w:tcW w:w="2320" w:type="dxa"/>
            <w:noWrap/>
            <w:hideMark/>
          </w:tcPr>
          <w:p w14:paraId="2B0532D2"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16411.98</w:t>
            </w:r>
          </w:p>
        </w:tc>
        <w:tc>
          <w:tcPr>
            <w:tcW w:w="1961" w:type="dxa"/>
            <w:noWrap/>
            <w:hideMark/>
          </w:tcPr>
          <w:p w14:paraId="017B5B17"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133.07</w:t>
            </w:r>
          </w:p>
        </w:tc>
        <w:tc>
          <w:tcPr>
            <w:tcW w:w="1129" w:type="dxa"/>
            <w:noWrap/>
            <w:hideMark/>
          </w:tcPr>
          <w:p w14:paraId="746228B1"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74BFF600" w14:textId="77777777" w:rsidR="00941240" w:rsidRPr="00D25913" w:rsidRDefault="00941240" w:rsidP="00D25913">
            <w:pPr>
              <w:spacing w:line="480" w:lineRule="auto"/>
              <w:rPr>
                <w:rFonts w:ascii="Times New Roman" w:hAnsi="Times New Roman" w:cs="Times New Roman"/>
              </w:rPr>
            </w:pPr>
          </w:p>
        </w:tc>
        <w:tc>
          <w:tcPr>
            <w:tcW w:w="3596" w:type="dxa"/>
            <w:noWrap/>
            <w:hideMark/>
          </w:tcPr>
          <w:p w14:paraId="034D525E" w14:textId="77777777" w:rsidR="00941240" w:rsidRPr="00D25913" w:rsidRDefault="00941240" w:rsidP="00D25913">
            <w:pPr>
              <w:spacing w:line="480" w:lineRule="auto"/>
              <w:rPr>
                <w:rFonts w:ascii="Times New Roman" w:hAnsi="Times New Roman" w:cs="Times New Roman"/>
              </w:rPr>
            </w:pPr>
          </w:p>
        </w:tc>
      </w:tr>
      <w:tr w:rsidR="00941240" w:rsidRPr="00D25913" w14:paraId="699EF845" w14:textId="77777777" w:rsidTr="00941240">
        <w:trPr>
          <w:trHeight w:val="300"/>
        </w:trPr>
        <w:tc>
          <w:tcPr>
            <w:tcW w:w="1360" w:type="dxa"/>
            <w:noWrap/>
            <w:hideMark/>
          </w:tcPr>
          <w:p w14:paraId="49796CD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44365</w:t>
            </w:r>
          </w:p>
        </w:tc>
        <w:tc>
          <w:tcPr>
            <w:tcW w:w="2320" w:type="dxa"/>
            <w:noWrap/>
            <w:hideMark/>
          </w:tcPr>
          <w:p w14:paraId="5251B37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16143.95</w:t>
            </w:r>
          </w:p>
        </w:tc>
        <w:tc>
          <w:tcPr>
            <w:tcW w:w="1961" w:type="dxa"/>
            <w:noWrap/>
            <w:hideMark/>
          </w:tcPr>
          <w:p w14:paraId="235EFF5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132.03</w:t>
            </w:r>
          </w:p>
        </w:tc>
        <w:tc>
          <w:tcPr>
            <w:tcW w:w="1129" w:type="dxa"/>
            <w:noWrap/>
            <w:hideMark/>
          </w:tcPr>
          <w:p w14:paraId="0E76E3B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-0.0166</w:t>
            </w:r>
          </w:p>
        </w:tc>
        <w:tc>
          <w:tcPr>
            <w:tcW w:w="1595" w:type="dxa"/>
            <w:noWrap/>
            <w:hideMark/>
          </w:tcPr>
          <w:p w14:paraId="020B5414"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-0.00788</w:t>
            </w:r>
          </w:p>
        </w:tc>
        <w:tc>
          <w:tcPr>
            <w:tcW w:w="3596" w:type="dxa"/>
            <w:noWrap/>
            <w:hideMark/>
          </w:tcPr>
          <w:p w14:paraId="07A54043" w14:textId="77777777" w:rsidR="00941240" w:rsidRPr="00D25913" w:rsidRDefault="00941240" w:rsidP="00D25913">
            <w:pPr>
              <w:spacing w:line="480" w:lineRule="auto"/>
              <w:rPr>
                <w:rFonts w:ascii="Times New Roman" w:hAnsi="Times New Roman" w:cs="Times New Roman"/>
              </w:rPr>
            </w:pPr>
          </w:p>
        </w:tc>
      </w:tr>
      <w:tr w:rsidR="00941240" w:rsidRPr="00D25913" w14:paraId="12A0008E" w14:textId="77777777" w:rsidTr="00941240">
        <w:trPr>
          <w:trHeight w:val="300"/>
        </w:trPr>
        <w:tc>
          <w:tcPr>
            <w:tcW w:w="1360" w:type="dxa"/>
            <w:noWrap/>
            <w:hideMark/>
          </w:tcPr>
          <w:p w14:paraId="12A76D2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44364</w:t>
            </w:r>
          </w:p>
        </w:tc>
        <w:tc>
          <w:tcPr>
            <w:tcW w:w="2320" w:type="dxa"/>
            <w:noWrap/>
            <w:hideMark/>
          </w:tcPr>
          <w:p w14:paraId="3C13A35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16411.65</w:t>
            </w:r>
          </w:p>
        </w:tc>
        <w:tc>
          <w:tcPr>
            <w:tcW w:w="1961" w:type="dxa"/>
            <w:noWrap/>
            <w:hideMark/>
          </w:tcPr>
          <w:p w14:paraId="586E64E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133.99</w:t>
            </w:r>
          </w:p>
        </w:tc>
        <w:tc>
          <w:tcPr>
            <w:tcW w:w="1129" w:type="dxa"/>
            <w:noWrap/>
            <w:hideMark/>
          </w:tcPr>
          <w:p w14:paraId="1E22988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0.016312</w:t>
            </w:r>
          </w:p>
        </w:tc>
        <w:tc>
          <w:tcPr>
            <w:tcW w:w="1595" w:type="dxa"/>
            <w:noWrap/>
            <w:hideMark/>
          </w:tcPr>
          <w:p w14:paraId="3042A1B4"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0.014628</w:t>
            </w:r>
          </w:p>
        </w:tc>
        <w:tc>
          <w:tcPr>
            <w:tcW w:w="3596" w:type="dxa"/>
            <w:noWrap/>
            <w:hideMark/>
          </w:tcPr>
          <w:p w14:paraId="07423961" w14:textId="77777777" w:rsidR="00941240" w:rsidRPr="00D25913" w:rsidRDefault="00941240" w:rsidP="00D25913">
            <w:pPr>
              <w:spacing w:line="480" w:lineRule="auto"/>
              <w:rPr>
                <w:rFonts w:ascii="Times New Roman" w:hAnsi="Times New Roman" w:cs="Times New Roman"/>
              </w:rPr>
            </w:pPr>
          </w:p>
        </w:tc>
      </w:tr>
      <w:tr w:rsidR="00941240" w:rsidRPr="00D25913" w14:paraId="78B85579" w14:textId="77777777" w:rsidTr="00941240">
        <w:trPr>
          <w:trHeight w:val="300"/>
        </w:trPr>
        <w:tc>
          <w:tcPr>
            <w:tcW w:w="1360" w:type="dxa"/>
            <w:noWrap/>
            <w:hideMark/>
          </w:tcPr>
          <w:p w14:paraId="1F41F18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44363</w:t>
            </w:r>
          </w:p>
        </w:tc>
        <w:tc>
          <w:tcPr>
            <w:tcW w:w="2320" w:type="dxa"/>
            <w:noWrap/>
            <w:hideMark/>
          </w:tcPr>
          <w:p w14:paraId="3FDC56E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16542.76</w:t>
            </w:r>
          </w:p>
        </w:tc>
        <w:tc>
          <w:tcPr>
            <w:tcW w:w="1961" w:type="dxa"/>
            <w:noWrap/>
            <w:hideMark/>
          </w:tcPr>
          <w:p w14:paraId="02FEF453"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132.78</w:t>
            </w:r>
          </w:p>
        </w:tc>
        <w:tc>
          <w:tcPr>
            <w:tcW w:w="1129" w:type="dxa"/>
            <w:noWrap/>
            <w:hideMark/>
          </w:tcPr>
          <w:p w14:paraId="09EFD92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0.007926</w:t>
            </w:r>
          </w:p>
        </w:tc>
        <w:tc>
          <w:tcPr>
            <w:tcW w:w="1595" w:type="dxa"/>
            <w:noWrap/>
            <w:hideMark/>
          </w:tcPr>
          <w:p w14:paraId="516ADEE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-0.00911</w:t>
            </w:r>
          </w:p>
        </w:tc>
        <w:tc>
          <w:tcPr>
            <w:tcW w:w="3596" w:type="dxa"/>
            <w:noWrap/>
            <w:hideMark/>
          </w:tcPr>
          <w:p w14:paraId="0BF608B2" w14:textId="77777777" w:rsidR="00941240" w:rsidRPr="00D25913" w:rsidRDefault="00941240" w:rsidP="00D25913">
            <w:pPr>
              <w:spacing w:line="480" w:lineRule="auto"/>
              <w:rPr>
                <w:rFonts w:ascii="Times New Roman" w:hAnsi="Times New Roman" w:cs="Times New Roman"/>
              </w:rPr>
            </w:pPr>
          </w:p>
        </w:tc>
      </w:tr>
      <w:tr w:rsidR="00941240" w:rsidRPr="00D25913" w14:paraId="263770C0" w14:textId="77777777" w:rsidTr="00941240">
        <w:trPr>
          <w:trHeight w:val="300"/>
        </w:trPr>
        <w:tc>
          <w:tcPr>
            <w:tcW w:w="1360" w:type="dxa"/>
            <w:noWrap/>
            <w:hideMark/>
          </w:tcPr>
          <w:p w14:paraId="52B407B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44362</w:t>
            </w:r>
          </w:p>
        </w:tc>
        <w:tc>
          <w:tcPr>
            <w:tcW w:w="2320" w:type="dxa"/>
            <w:noWrap/>
            <w:hideMark/>
          </w:tcPr>
          <w:p w14:paraId="5F9965AD"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16655.81</w:t>
            </w:r>
          </w:p>
        </w:tc>
        <w:tc>
          <w:tcPr>
            <w:tcW w:w="1961" w:type="dxa"/>
            <w:noWrap/>
            <w:hideMark/>
          </w:tcPr>
          <w:p w14:paraId="1ADE886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134.65</w:t>
            </w:r>
          </w:p>
        </w:tc>
        <w:tc>
          <w:tcPr>
            <w:tcW w:w="1129" w:type="dxa"/>
            <w:noWrap/>
            <w:hideMark/>
          </w:tcPr>
          <w:p w14:paraId="66236FC5"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0.006787</w:t>
            </w:r>
          </w:p>
        </w:tc>
        <w:tc>
          <w:tcPr>
            <w:tcW w:w="1595" w:type="dxa"/>
            <w:noWrap/>
            <w:hideMark/>
          </w:tcPr>
          <w:p w14:paraId="7883B3AD"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0.013888</w:t>
            </w:r>
          </w:p>
        </w:tc>
        <w:tc>
          <w:tcPr>
            <w:tcW w:w="3596" w:type="dxa"/>
            <w:noWrap/>
            <w:hideMark/>
          </w:tcPr>
          <w:p w14:paraId="6F90EF41" w14:textId="77777777" w:rsidR="00941240" w:rsidRPr="00D25913" w:rsidRDefault="00941240" w:rsidP="00D25913">
            <w:pPr>
              <w:spacing w:line="480" w:lineRule="auto"/>
              <w:rPr>
                <w:rFonts w:ascii="Times New Roman" w:hAnsi="Times New Roman" w:cs="Times New Roman"/>
              </w:rPr>
            </w:pPr>
          </w:p>
        </w:tc>
      </w:tr>
      <w:tr w:rsidR="00941240" w:rsidRPr="00D25913" w14:paraId="008F329F" w14:textId="77777777" w:rsidTr="00941240">
        <w:trPr>
          <w:trHeight w:val="300"/>
        </w:trPr>
        <w:tc>
          <w:tcPr>
            <w:tcW w:w="1360" w:type="dxa"/>
            <w:noWrap/>
            <w:hideMark/>
          </w:tcPr>
          <w:p w14:paraId="37ED2B06"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209864A4"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1159AACB"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37F9DE9A"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07DD7DE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Covariance</w:t>
            </w:r>
          </w:p>
        </w:tc>
        <w:tc>
          <w:tcPr>
            <w:tcW w:w="3596" w:type="dxa"/>
            <w:noWrap/>
            <w:hideMark/>
          </w:tcPr>
          <w:p w14:paraId="5733FD74" w14:textId="76433284" w:rsidR="00941240" w:rsidRPr="00D25913" w:rsidRDefault="007C6134" w:rsidP="00D25913">
            <w:pPr>
              <w:spacing w:line="480" w:lineRule="auto"/>
              <w:rPr>
                <w:rFonts w:ascii="Times New Roman" w:hAnsi="Times New Roman" w:cs="Times New Roman"/>
              </w:rPr>
            </w:pPr>
            <w:r w:rsidRPr="00D25913">
              <w:rPr>
                <w:rFonts w:ascii="Times New Roman" w:hAnsi="Times New Roman" w:cs="Times New Roman"/>
              </w:rPr>
              <w:t>0.000087466</w:t>
            </w:r>
          </w:p>
        </w:tc>
      </w:tr>
      <w:tr w:rsidR="00941240" w:rsidRPr="00D25913" w14:paraId="57879630" w14:textId="77777777" w:rsidTr="00941240">
        <w:trPr>
          <w:trHeight w:val="300"/>
        </w:trPr>
        <w:tc>
          <w:tcPr>
            <w:tcW w:w="1360" w:type="dxa"/>
            <w:noWrap/>
            <w:hideMark/>
          </w:tcPr>
          <w:p w14:paraId="1095AB52"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58DA2D0C"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44FF1CE8"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0A04D5E3"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768E24A0"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Variance</w:t>
            </w:r>
          </w:p>
        </w:tc>
        <w:tc>
          <w:tcPr>
            <w:tcW w:w="3596" w:type="dxa"/>
            <w:noWrap/>
            <w:hideMark/>
          </w:tcPr>
          <w:p w14:paraId="4620130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0.000129682</w:t>
            </w:r>
          </w:p>
        </w:tc>
      </w:tr>
      <w:tr w:rsidR="00941240" w:rsidRPr="00D25913" w14:paraId="507A8E5C" w14:textId="77777777" w:rsidTr="00941240">
        <w:trPr>
          <w:trHeight w:val="300"/>
        </w:trPr>
        <w:tc>
          <w:tcPr>
            <w:tcW w:w="1360" w:type="dxa"/>
            <w:noWrap/>
            <w:hideMark/>
          </w:tcPr>
          <w:p w14:paraId="07999FAF"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2B8FB3CC"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42F16DEE"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43130E9D"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4D247DFE"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xml:space="preserve">Beta </w:t>
            </w:r>
          </w:p>
        </w:tc>
        <w:tc>
          <w:tcPr>
            <w:tcW w:w="3596" w:type="dxa"/>
            <w:noWrap/>
            <w:hideMark/>
          </w:tcPr>
          <w:p w14:paraId="0C0254C4" w14:textId="4B54D7A1"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0.67</w:t>
            </w:r>
          </w:p>
        </w:tc>
      </w:tr>
    </w:tbl>
    <w:p w14:paraId="34F278FD" w14:textId="0D4ADAA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fldChar w:fldCharType="end"/>
      </w:r>
    </w:p>
    <w:p w14:paraId="66321F17" w14:textId="77777777" w:rsidR="00E074DF" w:rsidRPr="00D25913" w:rsidRDefault="00E074DF" w:rsidP="00D25913">
      <w:pPr>
        <w:spacing w:line="480" w:lineRule="auto"/>
        <w:rPr>
          <w:rFonts w:ascii="Times New Roman" w:hAnsi="Times New Roman" w:cs="Times New Roman"/>
        </w:rPr>
      </w:pPr>
    </w:p>
    <w:p w14:paraId="70A95E7D" w14:textId="08BE81FA" w:rsidR="005F66AF" w:rsidRPr="00D25913" w:rsidRDefault="004F64FE" w:rsidP="004F64FE">
      <w:pPr>
        <w:spacing w:line="480" w:lineRule="auto"/>
        <w:ind w:firstLine="720"/>
        <w:rPr>
          <w:rFonts w:ascii="Times New Roman" w:hAnsi="Times New Roman" w:cs="Times New Roman"/>
        </w:rPr>
      </w:pPr>
      <w:r w:rsidRPr="004F64FE">
        <w:rPr>
          <w:rFonts w:ascii="Times New Roman" w:hAnsi="Times New Roman" w:cs="Times New Roman"/>
        </w:rPr>
        <w:lastRenderedPageBreak/>
        <w:t xml:space="preserve">The company’s beta value is 0.67, which is less than one. This means that the stock market value of Procter &amp; company, which is at $133.07, is less volatile, meaning that it does not keep on swinging upwards or towards.  </w:t>
      </w:r>
    </w:p>
    <w:p w14:paraId="6A84A353" w14:textId="22654A46" w:rsidR="009D6CCD"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t>(3)</w:t>
      </w:r>
      <w:r w:rsidR="007C6134" w:rsidRPr="00D25913">
        <w:rPr>
          <w:rFonts w:ascii="Times New Roman" w:hAnsi="Times New Roman" w:cs="Times New Roman"/>
          <w:b/>
        </w:rPr>
        <w:t>. Identify</w:t>
      </w:r>
      <w:r w:rsidRPr="00D25913">
        <w:rPr>
          <w:rFonts w:ascii="Times New Roman" w:hAnsi="Times New Roman" w:cs="Times New Roman"/>
          <w:b/>
        </w:rPr>
        <w:t xml:space="preserve"> the major risks faced by the firm and whether it hedges its risk exposures or not. This information</w:t>
      </w:r>
      <w:r w:rsidR="00C949EC" w:rsidRPr="00D25913">
        <w:rPr>
          <w:rFonts w:ascii="Times New Roman" w:hAnsi="Times New Roman" w:cs="Times New Roman"/>
          <w:b/>
        </w:rPr>
        <w:t xml:space="preserve"> </w:t>
      </w:r>
      <w:r w:rsidRPr="00D25913">
        <w:rPr>
          <w:rFonts w:ascii="Times New Roman" w:hAnsi="Times New Roman" w:cs="Times New Roman"/>
          <w:b/>
        </w:rPr>
        <w:t>is typically reported in the firm’s annual report or the statements filed with the regulatory body in the firm’s</w:t>
      </w:r>
      <w:r w:rsidR="00C949EC" w:rsidRPr="00D25913">
        <w:rPr>
          <w:rFonts w:ascii="Times New Roman" w:hAnsi="Times New Roman" w:cs="Times New Roman"/>
          <w:b/>
        </w:rPr>
        <w:t xml:space="preserve"> </w:t>
      </w:r>
      <w:r w:rsidRPr="00D25913">
        <w:rPr>
          <w:rFonts w:ascii="Times New Roman" w:hAnsi="Times New Roman" w:cs="Times New Roman"/>
          <w:b/>
        </w:rPr>
        <w:t>home country.</w:t>
      </w:r>
    </w:p>
    <w:p w14:paraId="11AFA6DD"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According to the company’s official report, Procter and Gamble Company is faced with several risks in the market during its daily operations. The following are the major risks associate with the company</w:t>
      </w:r>
    </w:p>
    <w:p w14:paraId="1AA11CFE"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(a)   Credit risk</w:t>
      </w:r>
    </w:p>
    <w:p w14:paraId="31E1F24C"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(b)  Exchange rate risk</w:t>
      </w:r>
    </w:p>
    <w:p w14:paraId="44192606"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(c)   Interest rate risk</w:t>
      </w:r>
    </w:p>
    <w:p w14:paraId="13D49AE9"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(d)  Net investment risk </w:t>
      </w:r>
    </w:p>
    <w:p w14:paraId="5E47913E"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(e)   Commodity price risk, among others. </w:t>
      </w:r>
    </w:p>
    <w:p w14:paraId="7A9BE4FE"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Finding ways through which the above risks can be mitigated is called hedging. Any serious firm will work tirelessly to mitigate the risks for its financial welfare. To hedge credit risk, the company has come up with well-outlined credit guidelines that dictate where one is qualified or not. The interest rate risk management is through the identification of both fixed and variable-rate debt. After that, the company now enters swamps with their counterparty, and agreements are made.  </w:t>
      </w:r>
    </w:p>
    <w:p w14:paraId="0D8EFA14" w14:textId="49ACCC93" w:rsidR="000349F9" w:rsidRPr="00D25913"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The company has operations in multiple countries globally and is subject to fluctuations in the value of some currencies that may cause unwanted losses. To mitigate this, the company utilizes forward contracts and introduces options with maturities of a given time. Borrowing from the </w:t>
      </w:r>
      <w:r w:rsidRPr="004F64FE">
        <w:rPr>
          <w:rFonts w:ascii="Times New Roman" w:hAnsi="Times New Roman" w:cs="Times New Roman"/>
        </w:rPr>
        <w:lastRenderedPageBreak/>
        <w:t>foreign currency is another way Procter and Gamble Company is hedging the net investment risk. On the other hand, future and options with maturities in a provided period are a perfect way for the company to manage the commodity price risk.</w:t>
      </w:r>
    </w:p>
    <w:p w14:paraId="411C8CFC" w14:textId="77777777" w:rsidR="000349F9" w:rsidRPr="00D25913" w:rsidRDefault="000349F9" w:rsidP="00D25913">
      <w:pPr>
        <w:spacing w:line="480" w:lineRule="auto"/>
        <w:rPr>
          <w:rFonts w:ascii="Times New Roman" w:hAnsi="Times New Roman" w:cs="Times New Roman"/>
        </w:rPr>
      </w:pPr>
    </w:p>
    <w:p w14:paraId="7F597077" w14:textId="77777777" w:rsidR="000349F9" w:rsidRPr="00D25913" w:rsidRDefault="000349F9" w:rsidP="00D25913">
      <w:pPr>
        <w:spacing w:line="480" w:lineRule="auto"/>
        <w:rPr>
          <w:rFonts w:ascii="Times New Roman" w:hAnsi="Times New Roman" w:cs="Times New Roman"/>
        </w:rPr>
      </w:pPr>
    </w:p>
    <w:p w14:paraId="253C8C07" w14:textId="77777777" w:rsidR="000349F9" w:rsidRPr="00D25913" w:rsidRDefault="000349F9" w:rsidP="00D25913">
      <w:pPr>
        <w:spacing w:line="480" w:lineRule="auto"/>
        <w:rPr>
          <w:rFonts w:ascii="Times New Roman" w:hAnsi="Times New Roman" w:cs="Times New Roman"/>
        </w:rPr>
      </w:pPr>
    </w:p>
    <w:p w14:paraId="1ED4B9B1" w14:textId="77777777" w:rsidR="000349F9" w:rsidRPr="00D25913" w:rsidRDefault="000349F9" w:rsidP="00D25913">
      <w:pPr>
        <w:spacing w:line="480" w:lineRule="auto"/>
        <w:rPr>
          <w:rFonts w:ascii="Times New Roman" w:hAnsi="Times New Roman" w:cs="Times New Roman"/>
        </w:rPr>
      </w:pPr>
    </w:p>
    <w:p w14:paraId="67CA6791" w14:textId="77777777" w:rsidR="007C6134" w:rsidRPr="00D25913" w:rsidRDefault="007C6134" w:rsidP="00D25913">
      <w:pPr>
        <w:spacing w:line="480" w:lineRule="auto"/>
        <w:rPr>
          <w:rFonts w:ascii="Times New Roman" w:hAnsi="Times New Roman" w:cs="Times New Roman"/>
        </w:rPr>
      </w:pPr>
      <w:r w:rsidRPr="00D25913">
        <w:rPr>
          <w:rFonts w:ascii="Times New Roman" w:hAnsi="Times New Roman" w:cs="Times New Roman"/>
        </w:rPr>
        <w:br w:type="page"/>
      </w:r>
    </w:p>
    <w:p w14:paraId="61E48A46" w14:textId="22DF3394" w:rsidR="000349F9" w:rsidRPr="00D25913" w:rsidRDefault="000349F9" w:rsidP="00D25913">
      <w:pPr>
        <w:spacing w:line="480" w:lineRule="auto"/>
        <w:jc w:val="center"/>
        <w:rPr>
          <w:rFonts w:ascii="Times New Roman" w:hAnsi="Times New Roman" w:cs="Times New Roman"/>
        </w:rPr>
      </w:pPr>
      <w:r w:rsidRPr="00D25913">
        <w:rPr>
          <w:rFonts w:ascii="Times New Roman" w:hAnsi="Times New Roman" w:cs="Times New Roman"/>
        </w:rPr>
        <w:lastRenderedPageBreak/>
        <w:t>References</w:t>
      </w:r>
    </w:p>
    <w:p w14:paraId="17998A81" w14:textId="7275B4A7" w:rsidR="000349F9" w:rsidRPr="00D25913" w:rsidRDefault="000349F9" w:rsidP="00D25913">
      <w:pPr>
        <w:spacing w:line="480" w:lineRule="auto"/>
        <w:ind w:left="720" w:hanging="720"/>
        <w:rPr>
          <w:rFonts w:ascii="Times New Roman" w:hAnsi="Times New Roman" w:cs="Times New Roman"/>
        </w:rPr>
      </w:pPr>
      <w:proofErr w:type="spellStart"/>
      <w:r w:rsidRPr="00D25913">
        <w:rPr>
          <w:rFonts w:ascii="Times New Roman" w:hAnsi="Times New Roman" w:cs="Times New Roman"/>
        </w:rPr>
        <w:t>Marketbeat</w:t>
      </w:r>
      <w:proofErr w:type="spellEnd"/>
      <w:r w:rsidRPr="00D25913">
        <w:rPr>
          <w:rFonts w:ascii="Times New Roman" w:hAnsi="Times New Roman" w:cs="Times New Roman"/>
        </w:rPr>
        <w:t xml:space="preserve">, (2021). The Procter &amp; Gamble Dividend Yield, History &amp; Payout Ratio. Retrieved from </w:t>
      </w:r>
      <w:hyperlink r:id="rId8" w:history="1">
        <w:r w:rsidRPr="00D25913">
          <w:rPr>
            <w:rStyle w:val="Hyperlink"/>
            <w:rFonts w:ascii="Times New Roman" w:hAnsi="Times New Roman" w:cs="Times New Roman"/>
          </w:rPr>
          <w:t>https://www.marketbeat.com/stocks/NYSE/PG/dividend/</w:t>
        </w:r>
      </w:hyperlink>
      <w:r w:rsidRPr="00D25913">
        <w:rPr>
          <w:rFonts w:ascii="Times New Roman" w:hAnsi="Times New Roman" w:cs="Times New Roman"/>
        </w:rPr>
        <w:t xml:space="preserve"> accessed on June 22, 2021</w:t>
      </w:r>
    </w:p>
    <w:p w14:paraId="52404823" w14:textId="0415BD21" w:rsidR="00A05039" w:rsidRPr="00D25913" w:rsidRDefault="00A05039"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Procter and gamble company official report. Retrieved from </w:t>
      </w:r>
      <w:hyperlink r:id="rId9" w:history="1">
        <w:r w:rsidRPr="00D25913">
          <w:rPr>
            <w:rStyle w:val="Hyperlink"/>
            <w:rFonts w:ascii="Times New Roman" w:hAnsi="Times New Roman" w:cs="Times New Roman"/>
          </w:rPr>
          <w:t>https://www.pg.com/annualreport2008/financials/ncfs-note6.shtml</w:t>
        </w:r>
      </w:hyperlink>
      <w:r w:rsidRPr="00D25913">
        <w:rPr>
          <w:rFonts w:ascii="Times New Roman" w:hAnsi="Times New Roman" w:cs="Times New Roman"/>
        </w:rPr>
        <w:t xml:space="preserve"> accessed on June 22, 2021</w:t>
      </w:r>
    </w:p>
    <w:p w14:paraId="3E4ABA8B" w14:textId="5FD00041" w:rsidR="007C6134" w:rsidRPr="00D25913" w:rsidRDefault="007C6134"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Yahoo finance. Procter and gamble company official report. Retrieved from </w:t>
      </w:r>
      <w:hyperlink r:id="rId10" w:history="1">
        <w:r w:rsidRPr="00D25913">
          <w:rPr>
            <w:rStyle w:val="Hyperlink"/>
            <w:rFonts w:ascii="Times New Roman" w:hAnsi="Times New Roman" w:cs="Times New Roman"/>
          </w:rPr>
          <w:t>https://finance.yahoo.com/quote/%5ENYA/history?p=%5ENYA</w:t>
        </w:r>
      </w:hyperlink>
      <w:r w:rsidRPr="00D25913">
        <w:rPr>
          <w:rFonts w:ascii="Times New Roman" w:hAnsi="Times New Roman" w:cs="Times New Roman"/>
        </w:rPr>
        <w:t xml:space="preserve"> accessed on June 22, 2021</w:t>
      </w:r>
    </w:p>
    <w:p w14:paraId="4BD4CCE4" w14:textId="31065F8A" w:rsidR="007C6134" w:rsidRPr="00D25913" w:rsidRDefault="007C6134"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Yahoo finance. Procter and gamble company official report. Retrieved from </w:t>
      </w:r>
      <w:hyperlink r:id="rId11" w:history="1">
        <w:r w:rsidRPr="00D25913">
          <w:rPr>
            <w:rStyle w:val="Hyperlink"/>
            <w:rFonts w:ascii="Times New Roman" w:hAnsi="Times New Roman" w:cs="Times New Roman"/>
          </w:rPr>
          <w:t>https://finance.yahoo.com/quote/PG/history?p=PG</w:t>
        </w:r>
      </w:hyperlink>
      <w:r w:rsidRPr="00D25913">
        <w:rPr>
          <w:rFonts w:ascii="Times New Roman" w:hAnsi="Times New Roman" w:cs="Times New Roman"/>
        </w:rPr>
        <w:t xml:space="preserve"> accessed on June 22, 2021</w:t>
      </w:r>
    </w:p>
    <w:sectPr w:rsidR="007C6134" w:rsidRPr="00D25913">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229C" w14:textId="77777777" w:rsidR="00AD1EA9" w:rsidRDefault="00AD1EA9" w:rsidP="00FD4A98">
      <w:r>
        <w:separator/>
      </w:r>
    </w:p>
  </w:endnote>
  <w:endnote w:type="continuationSeparator" w:id="0">
    <w:p w14:paraId="31D78F6E" w14:textId="77777777" w:rsidR="00AD1EA9" w:rsidRDefault="00AD1EA9" w:rsidP="00FD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7BE1" w14:textId="77777777" w:rsidR="00AD1EA9" w:rsidRDefault="00AD1EA9" w:rsidP="00FD4A98">
      <w:r>
        <w:separator/>
      </w:r>
    </w:p>
  </w:footnote>
  <w:footnote w:type="continuationSeparator" w:id="0">
    <w:p w14:paraId="168FEEB4" w14:textId="77777777" w:rsidR="00AD1EA9" w:rsidRDefault="00AD1EA9" w:rsidP="00FD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7657" w14:textId="54C8B5F1" w:rsidR="00FD4A98" w:rsidRPr="00FD4A98" w:rsidRDefault="00FD4A98">
    <w:pPr>
      <w:pStyle w:val="Header"/>
      <w:rPr>
        <w:rFonts w:ascii="Times New Roman" w:hAnsi="Times New Roman" w:cs="Times New Roman"/>
      </w:rPr>
    </w:pPr>
    <w:r w:rsidRPr="00FD4A98">
      <w:rPr>
        <w:rFonts w:ascii="Times New Roman" w:hAnsi="Times New Roman" w:cs="Times New Roman"/>
      </w:rPr>
      <w:tab/>
    </w:r>
    <w:r w:rsidRPr="00FD4A98">
      <w:rPr>
        <w:rFonts w:ascii="Times New Roman" w:hAnsi="Times New Roman" w:cs="Times New Roman"/>
      </w:rPr>
      <w:tab/>
    </w:r>
    <w:r w:rsidRPr="00FD4A98">
      <w:rPr>
        <w:rFonts w:ascii="Times New Roman" w:hAnsi="Times New Roman" w:cs="Times New Roman"/>
      </w:rPr>
      <w:fldChar w:fldCharType="begin"/>
    </w:r>
    <w:r w:rsidRPr="00FD4A98">
      <w:rPr>
        <w:rFonts w:ascii="Times New Roman" w:hAnsi="Times New Roman" w:cs="Times New Roman"/>
      </w:rPr>
      <w:instrText xml:space="preserve"> PAGE   \* MERGEFORMAT </w:instrText>
    </w:r>
    <w:r w:rsidRPr="00FD4A98">
      <w:rPr>
        <w:rFonts w:ascii="Times New Roman" w:hAnsi="Times New Roman" w:cs="Times New Roman"/>
      </w:rPr>
      <w:fldChar w:fldCharType="separate"/>
    </w:r>
    <w:r w:rsidRPr="00FD4A98">
      <w:rPr>
        <w:rFonts w:ascii="Times New Roman" w:hAnsi="Times New Roman" w:cs="Times New Roman"/>
        <w:noProof/>
      </w:rPr>
      <w:t>1</w:t>
    </w:r>
    <w:r w:rsidRPr="00FD4A98">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1427"/>
    <w:multiLevelType w:val="hybridMultilevel"/>
    <w:tmpl w:val="73481D2C"/>
    <w:lvl w:ilvl="0" w:tplc="A5C03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AF"/>
    <w:rsid w:val="000137AE"/>
    <w:rsid w:val="000349F9"/>
    <w:rsid w:val="00346A92"/>
    <w:rsid w:val="003D4B21"/>
    <w:rsid w:val="00444A7D"/>
    <w:rsid w:val="004F64FE"/>
    <w:rsid w:val="005F66AF"/>
    <w:rsid w:val="007C6134"/>
    <w:rsid w:val="008A0E3C"/>
    <w:rsid w:val="00941240"/>
    <w:rsid w:val="00965513"/>
    <w:rsid w:val="00A05039"/>
    <w:rsid w:val="00AD1EA9"/>
    <w:rsid w:val="00BF613F"/>
    <w:rsid w:val="00C27B0F"/>
    <w:rsid w:val="00C818CC"/>
    <w:rsid w:val="00C949EC"/>
    <w:rsid w:val="00D25913"/>
    <w:rsid w:val="00D26264"/>
    <w:rsid w:val="00D512D8"/>
    <w:rsid w:val="00DC5F18"/>
    <w:rsid w:val="00E074DF"/>
    <w:rsid w:val="00E24E8E"/>
    <w:rsid w:val="00E84EBE"/>
    <w:rsid w:val="00F010B8"/>
    <w:rsid w:val="00F34EBD"/>
    <w:rsid w:val="00F65B29"/>
    <w:rsid w:val="00FD4A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303A"/>
  <w15:chartTrackingRefBased/>
  <w15:docId w15:val="{1B4EF07B-E2BD-4A43-8071-AF689153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9F9"/>
    <w:rPr>
      <w:color w:val="0563C1" w:themeColor="hyperlink"/>
      <w:u w:val="single"/>
    </w:rPr>
  </w:style>
  <w:style w:type="paragraph" w:styleId="ListParagraph">
    <w:name w:val="List Paragraph"/>
    <w:basedOn w:val="Normal"/>
    <w:uiPriority w:val="34"/>
    <w:qFormat/>
    <w:rsid w:val="00C949EC"/>
    <w:pPr>
      <w:ind w:left="720"/>
      <w:contextualSpacing/>
    </w:pPr>
  </w:style>
  <w:style w:type="table" w:styleId="TableGrid">
    <w:name w:val="Table Grid"/>
    <w:basedOn w:val="TableNormal"/>
    <w:uiPriority w:val="39"/>
    <w:rsid w:val="0094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A98"/>
    <w:pPr>
      <w:tabs>
        <w:tab w:val="center" w:pos="4513"/>
        <w:tab w:val="right" w:pos="9026"/>
      </w:tabs>
    </w:pPr>
  </w:style>
  <w:style w:type="character" w:customStyle="1" w:styleId="HeaderChar">
    <w:name w:val="Header Char"/>
    <w:basedOn w:val="DefaultParagraphFont"/>
    <w:link w:val="Header"/>
    <w:uiPriority w:val="99"/>
    <w:rsid w:val="00FD4A98"/>
  </w:style>
  <w:style w:type="paragraph" w:styleId="Footer">
    <w:name w:val="footer"/>
    <w:basedOn w:val="Normal"/>
    <w:link w:val="FooterChar"/>
    <w:uiPriority w:val="99"/>
    <w:unhideWhenUsed/>
    <w:rsid w:val="00FD4A98"/>
    <w:pPr>
      <w:tabs>
        <w:tab w:val="center" w:pos="4513"/>
        <w:tab w:val="right" w:pos="9026"/>
      </w:tabs>
    </w:pPr>
  </w:style>
  <w:style w:type="character" w:customStyle="1" w:styleId="FooterChar">
    <w:name w:val="Footer Char"/>
    <w:basedOn w:val="DefaultParagraphFont"/>
    <w:link w:val="Footer"/>
    <w:uiPriority w:val="99"/>
    <w:rsid w:val="00FD4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93065">
      <w:bodyDiv w:val="1"/>
      <w:marLeft w:val="0"/>
      <w:marRight w:val="0"/>
      <w:marTop w:val="0"/>
      <w:marBottom w:val="0"/>
      <w:divBdr>
        <w:top w:val="none" w:sz="0" w:space="0" w:color="auto"/>
        <w:left w:val="none" w:sz="0" w:space="0" w:color="auto"/>
        <w:bottom w:val="none" w:sz="0" w:space="0" w:color="auto"/>
        <w:right w:val="none" w:sz="0" w:space="0" w:color="auto"/>
      </w:divBdr>
    </w:div>
    <w:div w:id="14517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beat.com/stocks/NYSE/PG/divide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yahoo.com/quote/PG/history?p=PG" TargetMode="External"/><Relationship Id="rId5" Type="http://schemas.openxmlformats.org/officeDocument/2006/relationships/webSettings" Target="webSettings.xml"/><Relationship Id="rId10" Type="http://schemas.openxmlformats.org/officeDocument/2006/relationships/hyperlink" Target="https://finance.yahoo.com/quote/%5ENYA/history?p=%5ENYA" TargetMode="External"/><Relationship Id="rId4" Type="http://schemas.openxmlformats.org/officeDocument/2006/relationships/settings" Target="settings.xml"/><Relationship Id="rId9" Type="http://schemas.openxmlformats.org/officeDocument/2006/relationships/hyperlink" Target="https://www.pg.com/annualreport2008/financials/ncfs-note6.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82A5-5F00-486D-B029-CA9A767A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Simrandeep Kaur Dhaliwal</dc:creator>
  <cp:keywords/>
  <dc:description/>
  <cp:lastModifiedBy>Kenken</cp:lastModifiedBy>
  <cp:revision>2</cp:revision>
  <dcterms:created xsi:type="dcterms:W3CDTF">2021-06-22T13:25:00Z</dcterms:created>
  <dcterms:modified xsi:type="dcterms:W3CDTF">2021-06-22T13:25:00Z</dcterms:modified>
</cp:coreProperties>
</file>